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jc w:val="right"/>
        <w:rPr>
          <w:rFonts w:ascii="Times New Roman" w:hAnsi="Times New Roman" w:cs="Times New Roman"/>
          <w:b w:val="false"/>
          <w:b w:val="false"/>
          <w:color w:val="000000" w:themeColor="text1"/>
          <w:sz w:val="28"/>
          <w:szCs w:val="28"/>
        </w:rPr>
      </w:pPr>
      <w:r>
        <w:rPr/>
      </w:r>
    </w:p>
    <w:p>
      <w:pPr>
        <w:pStyle w:val="ConsPlusTitle"/>
        <w:jc w:val="right"/>
        <w:rPr>
          <w:rFonts w:ascii="Times New Roman" w:hAnsi="Times New Roman" w:cs="Times New Roman"/>
          <w:b w:val="false"/>
          <w:b w:val="false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 w:themeColor="text1"/>
          <w:sz w:val="28"/>
          <w:szCs w:val="28"/>
        </w:rPr>
      </w:r>
    </w:p>
    <w:p>
      <w:pPr>
        <w:pStyle w:val="1"/>
        <w:spacing w:before="0" w:after="40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Приложение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 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к постановлению Администрации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Старобелокурихинского 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сельсовета Алтайского района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Алтайского края от 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25.12.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2023 №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84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Порядок</w:t>
      </w:r>
    </w:p>
    <w:p>
      <w:pPr>
        <w:pStyle w:val="Normal"/>
        <w:jc w:val="center"/>
        <w:rPr>
          <w:rFonts w:ascii="Times New Roman" w:hAnsi="Times New Roman" w:eastAsia="Times New Roman" w:cs="Times New Roman"/>
          <w:iCs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привлечения остатков средств на единый счет бюджета </w:t>
      </w:r>
      <w:r>
        <w:rPr>
          <w:rFonts w:eastAsia="Times New Roman" w:cs="Times New Roman" w:ascii="Times New Roman" w:hAnsi="Times New Roman"/>
          <w:i/>
          <w:color w:val="000000" w:themeColor="text1"/>
          <w:sz w:val="26"/>
          <w:szCs w:val="26"/>
          <w:lang w:bidi="ar-SA"/>
        </w:rPr>
        <w:br/>
      </w:r>
      <w:r>
        <w:rPr>
          <w:rFonts w:eastAsia="Times New Roman" w:cs="Times New Roman" w:ascii="Times New Roman" w:hAnsi="Times New Roman"/>
          <w:iCs/>
          <w:color w:val="000000" w:themeColor="text1"/>
          <w:sz w:val="26"/>
          <w:szCs w:val="26"/>
          <w:lang w:bidi="ar-SA"/>
        </w:rPr>
        <w:t>Старобелокурихинского сельсовета</w:t>
      </w:r>
      <w:r>
        <w:rPr>
          <w:rFonts w:eastAsia="Times New Roman" w:cs="Calibri" w:ascii="Calibri" w:hAnsi="Calibri"/>
          <w:b/>
          <w:color w:val="auto"/>
          <w:sz w:val="26"/>
          <w:szCs w:val="26"/>
          <w:lang w:bidi="ar-SA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 w:themeColor="text1"/>
          <w:sz w:val="26"/>
          <w:szCs w:val="26"/>
          <w:lang w:bidi="ar-SA"/>
        </w:rPr>
        <w:t>Алтайского района Алтайского края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iCs/>
          <w:color w:val="000000" w:themeColor="text1"/>
          <w:sz w:val="26"/>
          <w:szCs w:val="26"/>
          <w:lang w:bidi="ar-SA"/>
        </w:rPr>
        <w:t xml:space="preserve"> </w:t>
      </w:r>
      <w:r>
        <w:rPr>
          <w:rFonts w:eastAsia="Times New Roman" w:cs="Times New Roman" w:ascii="Times New Roman" w:hAnsi="Times New Roman"/>
          <w:i/>
          <w:color w:val="000000" w:themeColor="text1"/>
          <w:sz w:val="26"/>
          <w:szCs w:val="26"/>
          <w:lang w:bidi="ar-SA"/>
        </w:rPr>
        <w:t xml:space="preserve"> </w:t>
      </w: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и возврата привлеченных средств</w:t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</w:r>
    </w:p>
    <w:p>
      <w:pPr>
        <w:pStyle w:val="Normal"/>
        <w:widowControl/>
        <w:numPr>
          <w:ilvl w:val="0"/>
          <w:numId w:val="1"/>
        </w:numPr>
        <w:jc w:val="center"/>
        <w:outlineLvl w:val="1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Общие положения</w:t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1.1.Настоящий Порядок устанавливает условия и порядок привлечения финансовым органом Бюджета Старобелокурихинского сельсовета Алтайского района Алтайского края (далее – Финансовый орган) на единый счет Бюджета Старобелокурихинс</w:t>
      </w:r>
      <w:bookmarkStart w:id="0" w:name="_GoBack"/>
      <w:bookmarkEnd w:id="0"/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кого сельсовета Алтайского района Алтайского края (далее – Бюджет) остатков средств на:</w:t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казначейском счете для осуществления и отражения операций с денежными средствами, поступающими во временное распоряжение получателей средств Бюджета № 03232; </w:t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 xml:space="preserve">(далее - казначейские счета), открытых Финансовому органу в Управлении Федерального казначейства по Алтайскому краю (далее - Управление), условия и порядок возврата привлеченных средств. </w:t>
      </w:r>
    </w:p>
    <w:p>
      <w:pPr>
        <w:pStyle w:val="Normal"/>
        <w:widowControl/>
        <w:spacing w:before="0" w:after="0"/>
        <w:contextualSpacing/>
        <w:jc w:val="both"/>
        <w:rPr>
          <w:rFonts w:ascii="Times New Roman" w:hAnsi="Times New Roman" w:eastAsia="Calibri" w:cs="Times New Roman" w:eastAsiaTheme="minorHAnsi"/>
          <w:color w:val="000000" w:themeColor="text1"/>
          <w:sz w:val="26"/>
          <w:szCs w:val="26"/>
          <w:lang w:eastAsia="en-US"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1.2. Привлечение остатков средств на единый счет Бюджета осуществляется в случае прогнозирования временного кассового разрыва – недостаточности на едином счете Бюджета денежных средств, необходимых для осуществления перечислений из бюджета, а также в качестве дополнительного источника финансирования дефицита бюджета.</w:t>
      </w:r>
    </w:p>
    <w:p>
      <w:pPr>
        <w:pStyle w:val="Normal"/>
        <w:widowControl/>
        <w:spacing w:before="0" w:after="0"/>
        <w:contextualSpacing/>
        <w:jc w:val="both"/>
        <w:rPr>
          <w:rFonts w:ascii="Times New Roman" w:hAnsi="Times New Roman" w:eastAsia="Calibri" w:cs="Times New Roman" w:eastAsiaTheme="minorHAnsi"/>
          <w:color w:val="000000" w:themeColor="text1"/>
          <w:sz w:val="26"/>
          <w:szCs w:val="26"/>
          <w:lang w:eastAsia="en-US" w:bidi="ar-SA"/>
        </w:rPr>
      </w:pPr>
      <w:r>
        <w:rPr>
          <w:rFonts w:eastAsia="Calibri" w:cs="Times New Roman" w:ascii="Times New Roman" w:hAnsi="Times New Roman" w:eastAsiaTheme="minorHAnsi"/>
          <w:color w:val="000000" w:themeColor="text1"/>
          <w:sz w:val="26"/>
          <w:szCs w:val="26"/>
          <w:lang w:eastAsia="en-US" w:bidi="ar-SA"/>
        </w:rPr>
        <w:t>1.3.Платежи с казначейских счетов, с которых осуществляется привлечение средств на единый счет Бюджета, осуществляются в срок не позднее второго рабочего дня, следующего за днем приема к исполнению распоряжений о совершении казначейских платежей.</w:t>
      </w:r>
    </w:p>
    <w:p>
      <w:pPr>
        <w:pStyle w:val="Normal"/>
        <w:widowControl/>
        <w:spacing w:before="0" w:after="0"/>
        <w:contextualSpacing/>
        <w:jc w:val="both"/>
        <w:rPr>
          <w:rFonts w:ascii="Times New Roman" w:hAnsi="Times New Roman" w:eastAsia="Calibri" w:cs="Times New Roman" w:eastAsiaTheme="minorHAnsi"/>
          <w:color w:val="000000" w:themeColor="text1"/>
          <w:sz w:val="26"/>
          <w:szCs w:val="26"/>
          <w:lang w:eastAsia="en-US" w:bidi="ar-SA"/>
        </w:rPr>
      </w:pPr>
      <w:r>
        <w:rPr>
          <w:rFonts w:eastAsia="Calibri" w:cs="Times New Roman" w:ascii="Times New Roman" w:hAnsi="Times New Roman" w:eastAsiaTheme="minorHAnsi"/>
          <w:color w:val="000000" w:themeColor="text1"/>
          <w:sz w:val="26"/>
          <w:szCs w:val="26"/>
          <w:lang w:eastAsia="en-US" w:bidi="ar-SA"/>
        </w:rPr>
        <w:t>1.4.Финансовый орган осуществляет учет средств в части сумм, привлеченных на единый счет Бюджета с казначейских счетов и возвращенных с единого счета Бюджета на казначейские счета.</w:t>
      </w:r>
    </w:p>
    <w:p>
      <w:pPr>
        <w:pStyle w:val="Normal"/>
        <w:widowControl/>
        <w:spacing w:before="0" w:after="0"/>
        <w:contextualSpacing/>
        <w:jc w:val="both"/>
        <w:rPr>
          <w:rFonts w:ascii="Times New Roman" w:hAnsi="Times New Roman" w:eastAsia="Calibri" w:cs="Times New Roman" w:eastAsiaTheme="minorHAnsi"/>
          <w:color w:val="000000" w:themeColor="text1"/>
          <w:sz w:val="26"/>
          <w:szCs w:val="26"/>
          <w:lang w:eastAsia="en-US" w:bidi="ar-SA"/>
        </w:rPr>
      </w:pPr>
      <w:r>
        <w:rPr>
          <w:rFonts w:eastAsia="Calibri" w:cs="Times New Roman" w:ascii="Times New Roman" w:hAnsi="Times New Roman" w:eastAsiaTheme="minorHAnsi"/>
          <w:color w:val="000000" w:themeColor="text1"/>
          <w:sz w:val="26"/>
          <w:szCs w:val="26"/>
          <w:lang w:eastAsia="en-US" w:bidi="ar-SA"/>
        </w:rPr>
        <w:t>1.5.Формирование распоряжения о совершении казначейских платежей, необходимого для обеспечения привлечения остатков средств на единый счет Бюджета и их возврата, осуществляется Управлением в случае передачи ему функций Финансового органа, связанных с привлечением на единый счет Бюджета и возвратом привлеченных средств в соответствии со статьей 220.2 Бюджетного кодекса Российской Федерации.</w:t>
      </w:r>
    </w:p>
    <w:p>
      <w:pPr>
        <w:pStyle w:val="Normal"/>
        <w:widowControl/>
        <w:spacing w:before="0" w:after="0"/>
        <w:ind w:firstLine="709"/>
        <w:contextualSpacing/>
        <w:jc w:val="both"/>
        <w:rPr>
          <w:rFonts w:ascii="Times New Roman" w:hAnsi="Times New Roman" w:eastAsia="Calibri" w:cs="Times New Roman" w:eastAsiaTheme="minorHAnsi"/>
          <w:color w:val="000000" w:themeColor="text1"/>
          <w:sz w:val="26"/>
          <w:szCs w:val="26"/>
          <w:lang w:eastAsia="en-US" w:bidi="ar-SA"/>
        </w:rPr>
      </w:pPr>
      <w:r>
        <w:rPr>
          <w:rFonts w:eastAsia="Calibri" w:cs="Times New Roman" w:eastAsiaTheme="minorHAnsi" w:ascii="Times New Roman" w:hAnsi="Times New Roman"/>
          <w:color w:val="000000" w:themeColor="text1"/>
          <w:sz w:val="26"/>
          <w:szCs w:val="26"/>
          <w:lang w:eastAsia="en-US" w:bidi="ar-SA"/>
        </w:rPr>
      </w:r>
    </w:p>
    <w:p>
      <w:pPr>
        <w:pStyle w:val="Normal"/>
        <w:widowControl/>
        <w:numPr>
          <w:ilvl w:val="0"/>
          <w:numId w:val="1"/>
        </w:numPr>
        <w:spacing w:before="0" w:after="0"/>
        <w:contextualSpacing/>
        <w:jc w:val="center"/>
        <w:rPr>
          <w:rFonts w:ascii="Times New Roman" w:hAnsi="Times New Roman" w:eastAsia="Calibri" w:cs="Times New Roman" w:eastAsiaTheme="minorHAnsi"/>
          <w:color w:val="000000" w:themeColor="text1"/>
          <w:sz w:val="26"/>
          <w:szCs w:val="26"/>
          <w:lang w:eastAsia="en-US" w:bidi="ar-SA"/>
        </w:rPr>
      </w:pPr>
      <w:r>
        <w:rPr>
          <w:rFonts w:eastAsia="Calibri" w:cs="Times New Roman" w:ascii="Times New Roman" w:hAnsi="Times New Roman" w:eastAsiaTheme="minorHAnsi"/>
          <w:color w:val="000000" w:themeColor="text1"/>
          <w:sz w:val="26"/>
          <w:szCs w:val="26"/>
          <w:lang w:eastAsia="en-US" w:bidi="ar-SA"/>
        </w:rPr>
        <w:t>Условия и порядок привлечения остатков средств на единый счет Бюджета</w:t>
      </w:r>
    </w:p>
    <w:p>
      <w:pPr>
        <w:pStyle w:val="Normal"/>
        <w:widowControl/>
        <w:ind w:left="360" w:hanging="0"/>
        <w:jc w:val="both"/>
        <w:rPr>
          <w:rFonts w:ascii="Times New Roman" w:hAnsi="Times New Roman" w:eastAsia="Calibri" w:cs="Times New Roman" w:eastAsiaTheme="minorHAnsi"/>
          <w:color w:val="000000" w:themeColor="text1"/>
          <w:sz w:val="26"/>
          <w:szCs w:val="26"/>
          <w:lang w:eastAsia="en-US" w:bidi="ar-SA"/>
        </w:rPr>
      </w:pPr>
      <w:r>
        <w:rPr>
          <w:rFonts w:eastAsia="Calibri" w:cs="Times New Roman" w:eastAsiaTheme="minorHAnsi" w:ascii="Times New Roman" w:hAnsi="Times New Roman"/>
          <w:color w:val="000000" w:themeColor="text1"/>
          <w:sz w:val="26"/>
          <w:szCs w:val="26"/>
          <w:lang w:eastAsia="en-US" w:bidi="ar-SA"/>
        </w:rPr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2.1.При возникновении потребности в привлечении остатков средств на единый счет Бюджета Финансовый орган направляет в Управление обращение о привлечении остатков средств на единый счет Бюджета за счет средств на казначейских счетах не позднее трех рабочих дней до даты начала привлечения средств.</w:t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2.2.Объем привлекаемых средств определяется исходя из остатка средств на соответствующем казначейском счете, сложившегося после исполнения распоряжений о совершении казначейских платежей, с учетом необходимости обеспечения достаточности средств для осуществления выплат с соответствующего казначейского счета в рабочий день, следующий за днем привлечения средств.</w:t>
      </w:r>
    </w:p>
    <w:p>
      <w:pPr>
        <w:pStyle w:val="Normal"/>
        <w:widowControl/>
        <w:jc w:val="both"/>
        <w:rPr>
          <w:rFonts w:ascii="Times New Roman" w:hAnsi="Times New Roman" w:eastAsia="Calibri" w:cs="Times New Roman" w:eastAsiaTheme="minorHAnsi"/>
          <w:color w:val="000000" w:themeColor="text1"/>
          <w:sz w:val="26"/>
          <w:szCs w:val="26"/>
          <w:lang w:eastAsia="en-US" w:bidi="ar-SA"/>
        </w:rPr>
      </w:pPr>
      <w:r>
        <w:rPr>
          <w:rFonts w:eastAsia="Calibri" w:cs="Times New Roman" w:ascii="Times New Roman" w:hAnsi="Times New Roman" w:eastAsiaTheme="minorHAnsi"/>
          <w:color w:val="000000" w:themeColor="text1"/>
          <w:sz w:val="26"/>
          <w:szCs w:val="26"/>
          <w:lang w:eastAsia="en-US" w:bidi="ar-SA"/>
        </w:rPr>
        <w:t>2.3.Для привлечения средств Управление формирует распоряжение о совершении казначейского платежа не позднее 16 часов местного времени (в дни, непосредственно предшествующие выходным и нерабочим праздничным дням, - до 15 часов местного времени) текущего дня.</w:t>
      </w:r>
    </w:p>
    <w:p>
      <w:pPr>
        <w:pStyle w:val="Normal"/>
        <w:ind w:left="1080" w:hanging="0"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</w:r>
    </w:p>
    <w:p>
      <w:pPr>
        <w:pStyle w:val="Normal"/>
        <w:widowControl/>
        <w:numPr>
          <w:ilvl w:val="0"/>
          <w:numId w:val="1"/>
        </w:numPr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Условия и порядок возврата привлеченных средств</w:t>
      </w:r>
    </w:p>
    <w:p>
      <w:pPr>
        <w:pStyle w:val="Normal"/>
        <w:ind w:left="1080" w:hanging="0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3.1. Условием для возврата остатков средств с единого счета Бюджета является недостаточность средств на соответствующем казначейском счете в объеме, обеспечивающем своевременное исполнение распоряжений о совершении казначейских платежей или решение Финансового органа.</w:t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3.2.</w:t>
        <w:tab/>
        <w:t>Возврат остатков средств осуществляется с единого счета Бюджета на казначейский счет, с которого они были ранее перечислены, в том числе в целях проведения операций за счет привлеченных средств, не позднее второго рабочего дня, следующего за днем приема к исполнению распоряжений о совершении казначейских платежей.</w:t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bidi="ar-SA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3.3.</w:t>
        <w:tab/>
        <w:t>Объем средств, подлежащих возврату на соответствующий казначейский счет, определяется в пределах суммы, обеспечивающей своевременное исполнение распоряжений о совершении казначейских платежей, при условии соблюдения требования, установленного в пункте 3.4 Порядка.</w:t>
      </w:r>
    </w:p>
    <w:p>
      <w:pPr>
        <w:pStyle w:val="Normal"/>
        <w:widowControl/>
        <w:jc w:val="both"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bidi="ar-SA"/>
        </w:rPr>
        <w:t>3.4.</w:t>
        <w:tab/>
        <w:t>Перечисление средств с единого счета Бюджета на соответствующий казначейский счет осуществляется в пределах суммы, не превышающей разницу между объемом средств, поступивших с казначейского счета на единый счет Бюджета, и объемом средств, перечисленных с единого счета Бюджета на казначейский счет.</w:t>
      </w:r>
    </w:p>
    <w:p>
      <w:pPr>
        <w:pStyle w:val="ConsPlusTitle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134" w:right="567" w:gutter="0" w:header="70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00359338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i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5935"/>
    <w:pPr>
      <w:widowControl w:val="false"/>
      <w:bidi w:val="0"/>
      <w:spacing w:lineRule="auto" w:line="240" w:before="0" w:after="0"/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eastAsia="ru-RU" w:bidi="ru-RU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4f09ec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4f09ec"/>
    <w:rPr/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85754b"/>
    <w:rPr>
      <w:rFonts w:ascii="Tahoma" w:hAnsi="Tahoma" w:cs="Tahoma"/>
      <w:sz w:val="16"/>
      <w:szCs w:val="16"/>
    </w:rPr>
  </w:style>
  <w:style w:type="character" w:styleId="Style17" w:customStyle="1">
    <w:name w:val="Основной текст_"/>
    <w:basedOn w:val="DefaultParagraphFont"/>
    <w:link w:val="1"/>
    <w:qFormat/>
    <w:rsid w:val="001f5935"/>
    <w:rPr>
      <w:rFonts w:ascii="Times New Roman" w:hAnsi="Times New Roman" w:eastAsia="Times New Roman" w:cs="Times New Roman"/>
      <w:sz w:val="28"/>
      <w:szCs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sPlusNormal" w:customStyle="1">
    <w:name w:val="ConsPlusNormal"/>
    <w:qFormat/>
    <w:rsid w:val="00a812d9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a812d9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e84edb"/>
    <w:pPr>
      <w:spacing w:before="0" w:after="0"/>
      <w:ind w:left="720" w:hanging="0"/>
      <w:contextualSpacing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5"/>
    <w:uiPriority w:val="99"/>
    <w:unhideWhenUsed/>
    <w:rsid w:val="004f09e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7"/>
    <w:uiPriority w:val="99"/>
    <w:unhideWhenUsed/>
    <w:rsid w:val="004f09e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85754b"/>
    <w:pPr/>
    <w:rPr>
      <w:rFonts w:ascii="Tahoma" w:hAnsi="Tahoma" w:cs="Tahoma"/>
      <w:sz w:val="16"/>
      <w:szCs w:val="16"/>
    </w:rPr>
  </w:style>
  <w:style w:type="paragraph" w:styleId="1" w:customStyle="1">
    <w:name w:val="Основной текст1"/>
    <w:basedOn w:val="Normal"/>
    <w:link w:val="aa"/>
    <w:qFormat/>
    <w:rsid w:val="001f5935"/>
    <w:pPr>
      <w:ind w:firstLine="40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LibreOffice/7.2.4.1$Windows_X86_64 LibreOffice_project/27d75539669ac387bb498e35313b970b7fe9c4f9</Application>
  <AppVersion>15.0000</AppVersion>
  <Pages>2</Pages>
  <Words>532</Words>
  <Characters>3780</Characters>
  <CharactersWithSpaces>4609</CharactersWithSpaces>
  <Paragraphs>26</Paragraphs>
  <Company>ufk17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2023-11-15T08:09:00Z</dcterms:created>
  <dc:creator>StryapyshevaEA</dc:creator>
  <dc:description/>
  <dc:language>ru-RU</dc:language>
  <cp:lastModifiedBy/>
  <cp:lastPrinted>2023-10-27T05:01:00Z</cp:lastPrinted>
  <dcterms:modified xsi:type="dcterms:W3CDTF">2023-12-25T15:32:41Z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